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180</w:t>
      </w:r>
    </w:p>
    <w:p>
      <w:r>
        <w:t>Bundesgericht (BGE), 1967-03-17, DE</w:t>
      </w:r>
    </w:p>
    <w:p>
      <w:r>
        <w:rPr>
          <w:b/>
        </w:rPr>
        <w:t xml:space="preserve">Quelle: </w:t>
      </w:r>
      <w:r>
        <w:t>https://mcp.opencaselaw.ch/entscheid/bge_100 IV 180</w:t>
      </w:r>
    </w:p>
    <w:p>
      <w:r>
        <w:t>FR: ATF 100 IV 180</w:t>
      </w:r>
    </w:p>
    <w:p>
      <w:r>
        <w:t>IT: DTF 100 IV 180</w:t>
      </w:r>
    </w:p>
    <w:p>
      <w:pPr>
        <w:pStyle w:val="Heading2"/>
      </w:pPr>
      <w:r>
        <w:t>Regeste</w:t>
      </w:r>
    </w:p>
    <w:p>
      <w:r>
        <w:t>Regeste Art. 317 StGB. Der auf den täuschenden Gebrauch der falschen Urkunde gerichtete Wille ist wesentlicher Bestandteil des Vorsatzes.</w:t>
      </w:r>
    </w:p>
    <w:p>
      <w:pPr>
        <w:pStyle w:val="Heading2"/>
      </w:pPr>
      <w:r>
        <w:t>Erwägungen</w:t>
      </w:r>
    </w:p>
    <w:p>
      <w:r>
        <w:rPr>
          <w:b/>
        </w:rPr>
        <w:t>E. 1</w:t>
      </w:r>
    </w:p>
    <w:p>
      <w:r>
        <w:t>...</w:t>
      </w:r>
    </w:p>
    <w:p>
      <w:r>
        <w:rPr>
          <w:b/>
        </w:rPr>
        <w:t>E. 2</w:t>
      </w:r>
    </w:p>
    <w:p>
      <w:r>
        <w:t>Der Generalprokurator stellt sich auf den Standpunkt, die Beschwerdegegner hätten gewusst, dass sich die beiden Kandidaten keiner praktischen Prüfung unterzogen hatten. Sie hätten deshalb eine solche vorgetäuscht und dabei mit Wissen und Willen gehandelt. Dass sie sich mit der Begründung beruhigt hätten, man hätte ihnen ja reglementsmässig eine praktische Prüfung erlassen können, entlaste die Beschwerdegegner nicht. Das sei bloss Beweggrund ihres Handelns gewesen, der jedoch nicht zum Vorsatz gehöre. Die Vorinstanz habe den Begriff der Fahrlässigkeit falsch ausgelegt. BGE 100 IV 180 S. 182</w:t>
      </w:r>
    </w:p>
    <w:p>
      <w:r>
        <w:rPr>
          <w:b/>
        </w:rPr>
        <w:t>E. 3</w:t>
      </w:r>
    </w:p>
    <w:p>
      <w:r>
        <w:t>Die Rüge ist dahin zu verstehen, dass die Vorinstanz zu Unrecht Fahrlässigkeit statt Vorsatz angenommen habe. a) Vorsätzlich im Sinne des Art. 317 Ziff. 1 StGB handelt der Täter, wenn er bewusst in seiner Eigenschaft als Beamter rechtlich erhebliche Tatsachen unwahr in einer Schrift verurkundet, von der er weiss, dass sie zum Beweis jener Tatsachen geeignet oder bestimmt ist, und wenn er dies mit dem Willen zur Täuschung im Rechtsverkehr tut oder eine solche Folge zumindest in Kauf nimmt. Diese Ausrichtung auf den täuschenden Gebrauch gehört - was in der Beschwerde übersehen wird - wesentlich zum subjektiven Tatbestand der Urkundenfälschung sowohl des Art. 251 wie des Art. 317 Ziff. 1 StGB ( BGE 95 IV 73 Erw. 3 b; GERMANN, Das Verbrechen im neuen Strafrecht, S. 33/34); denn wenn der Gesetzgeber schon die Herstellung einer Lugurkunde ohne ihren tatsächlichen Gebrauch unter Strafe stellt, liegt der Grund hiefür in der für den Rechtsverkehr geschaffenen Täuschungsgefahr (LOGOZ, Kommentar, N. 4 zu Art. 317). Diese Gefahr aber muss in den Vorsatz einbezogen sein, ansonst wäre der Hersteller der Lugurkunde, der sein eigenes Falsifikat gebraucht, folgerichtig für zwei Delikte zu bestrafen. Nach ständiger Rechtsprechung ( BGE 71 IV 209 E. 3, BGE 95 IV 73 , BGE 96 IV 167 ) führt jedoch der Gebrauch der eigenen Falschurkunde nicht zu einer zusätzlichen Bestrafung. Für die genannte Auslegung spricht auch die Tatsache, dass jemand bewusst und gewollt eine Schrift, die an sich geeignet wäre, den verurkundeten falschen Inhalt zu beweisen, herstellen kann, ohne Treu und Glauben gefährden zu wollen. Das tut er dann nicht, wenn er nicht eine Täuschung im Rechtsverkehr bezweckt oder in Kauf nimmt, sondern ein anderes Ziel verfolgt (z.B. Herstellung einer falschen Urkunde zu Experimentierzwecken oder als kalligraphisches Dokument und dgl.; GERMANN, a.a.O.). Das hat die Vorinstanz richtig erkannt, indem sie das Wissen und den Willen auf den täuschenden Gebrauch der falschen Urkunde als wesentlichen Bestandteil des Vorsatzes ansieht. b) Ist sie aber von zutreffenden rechtlichen Voraussetzungen ausgegangen, so ist ihr Urteil unanfechtbar. Ob jener Täuschungsvorsatz gegeben sei, ist Tatfrage, die hier vom kantonalen Richter für den Kassationshof verbindlich bejaht wird ( BGE 81 IV 283 E. 3; BGE 83 IV 77 ). Nach dem angefochtenen Urteil haben die Beschwerdegegner nicht wissentlich und BGE 100 IV 180 S. 183 willentlich durch Abfassung einer Schrift von rechtlicher Bedeutung eine nicht stattgefundene Prüfung vortäuschen wollen; beiden habe der Wille "auf den täuschenden Gebrauch der Urkunde als Beweismittel" gefehlt, und es lägen keine Anhaltspunkte vor, dass sie den strafbaren Erfolg für den Fall eines Eintritts auch nur gebilligt hätten. Diese Feststellungen schliessen die Annahme eines Täuschungsvorsatzes aus; sie betreffen nicht das blosse Handlungsmotiv, sondern den Handlungsentschluss (Wissen und Willen) der Beschwerdegegner und mussten daher zur Verneinung einer vorsätzlichen Urkundenfälschung führen. Jene tatsächlichen Annahmen treffen übrigens in Würdigung aller Umstände des Falles auch sachlich das Richtige, wenn man berücksichtigt, dass Huggler für den Erlass der Prüfung zuständig war, das Ergebnis der Prüfungen niemandem vorzulegen hatte und es bloss darum ging, ihm eine Bewertung der praktischen Fähigkeiten der beiden Kandidaten zu verschaffen, die als zureichende Unterlage für den Entscheid über den Erlass der praktischen Prüfung geeignet war. Die ausgefüllten Formulare waren somit nach der Absicht der beiden Beteiligten ausschliesslich für einen solchen amtsinternen Gebrauch bestimmt, in dessen Rahmen sie nicht die Funktion einer Beweisurkunde hatten, da sowohl der Hersteller der Schrift als auch deren Empfänger wussten, dass eine praktische Prüfung nicht abgelegt worden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